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0A8D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>铜陵市中医医院2025年第三季度传染病疫情报告与分析</w:t>
      </w:r>
    </w:p>
    <w:p w14:paraId="1297A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2025年7月1日至9月30日，我院共报告法定传染病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种，发病数170例。乙类传染病3种，发病数9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例；丙类传染病4种，发病数65例；其它法定管理及重点监测传染病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种，发病数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36"/>
        </w:rPr>
        <w:t>例。本季度无甲类及乙类按甲类管理的传染病报告。</w:t>
      </w:r>
    </w:p>
    <w:p w14:paraId="1354F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  <w:t>一、发病情况分析</w:t>
      </w:r>
    </w:p>
    <w:p w14:paraId="79A21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本季度传染病报告总数较上季度有所下降，但仍以病毒性肝炎、感染性腹泻病为主，同时伴有季节性呼吸道及接触传播疾病。发病结构呈现乙类主导、丙类次之的特征。</w:t>
      </w:r>
    </w:p>
    <w:p w14:paraId="45E2B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5051425" cy="478028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7FEC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  <w:t>二、重点传染病疫情分析</w:t>
      </w:r>
    </w:p>
    <w:p w14:paraId="43EE9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结合本季度传染病报告数据及流行特征，需重点关注以下传染病疫情：</w:t>
      </w:r>
    </w:p>
    <w:p w14:paraId="5AE3F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病毒性肝炎：乙肝报告83例，丙肝9例，未分型1例，合计93例，占乙类传染病绝大多数。提示病毒性肝炎仍是我院传染病防控的重点，需进一步提高诊断分型的准确性，加强慢性肝炎患者的随访管理和健康宣教。</w:t>
      </w:r>
    </w:p>
    <w:p w14:paraId="2CB22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其它感染性腹泻病：报告47例，居丙类传染病首位。提示夏秋季气温偏高、湿度大，肠道病原体活跃，需持续加强食源性疾病监测、食品安全管理和肠道门诊规范运行，重点关注集体单位病例聚集情况。</w:t>
      </w:r>
    </w:p>
    <w:p w14:paraId="749C8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肺结核：本季度共报告2例，其中病原学阳性和无病原学结果各1例。需继续强化结核病的早期筛查、规范报告和治疗管理，落实对咳嗽、咳痰≥2周患者的主动筛查。</w:t>
      </w:r>
    </w:p>
    <w:p w14:paraId="28565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流行性感冒、流行性腮腺炎与水痘：本季度流感、腮腺炎、水痘各报告7例，提示进入秋冬季后呼吸道及接触传播疾病风险上升。应加强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学生及儿童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等重点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人群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的健康监测与疫苗接种宣传，防范聚集性疫情。</w:t>
      </w:r>
    </w:p>
    <w:p w14:paraId="18502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手足口病：本季度报告4例，较上季度明显下降，但仍需警惕5岁以下儿童中的传播风险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。</w:t>
      </w:r>
    </w:p>
    <w:p w14:paraId="4F252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新型冠状病毒感染：报告3例轻型病例，提示疫情呈散发状态，需继续保持对发热、呼吸道症状患者的筛查与报告意识。</w:t>
      </w:r>
    </w:p>
    <w:p w14:paraId="560F3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  <w:t>三、传染病报卡质量分析</w:t>
      </w:r>
    </w:p>
    <w:p w14:paraId="67EDD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本季度传染病报告质量总体稳定，但仍存在以下问题：</w:t>
      </w:r>
    </w:p>
    <w:p w14:paraId="64276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完整性：部分报告卡中“工作单位/学校”及儿童患者“监护人信息”填写不完整，影响流行病学调查质量。</w:t>
      </w:r>
    </w:p>
    <w:p w14:paraId="6011C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准确性：肝炎病例的急慢性分型、病原学结果与诊断分类仍存在不一致现象；个别病例“人群分类”填写过于笼统。</w:t>
      </w:r>
    </w:p>
    <w:p w14:paraId="32B1D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及时性：仍有少数医生未严格执行诊断后24小时内报告的要求，存在迟报现象。</w:t>
      </w:r>
    </w:p>
    <w:p w14:paraId="7493C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逻辑性：个别报告卡中诊断依据与实验室检测结果不符，需加强临床与检验科室的沟通与审核。</w:t>
      </w:r>
    </w:p>
    <w:p w14:paraId="3F10D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  <w:t>四、下一步工作措施</w:t>
      </w:r>
    </w:p>
    <w:p w14:paraId="2E5E2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针对本季度疫情特点和报告卡质量存在的问题，特制定以下改进措施：</w:t>
      </w:r>
    </w:p>
    <w:p w14:paraId="1AF49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default"/>
          <w:sz w:val="28"/>
          <w:szCs w:val="36"/>
          <w:lang w:val="en-US" w:eastAsia="zh-CN"/>
        </w:rPr>
        <w:t>强化培训与意识提升：组织全院临床医务人员（尤其新入职人员） 开展专项培训，重点学习《中华人民共和国传染病防治法》、最新版《传染病信息报告管理规范》及本院报告流程。</w:t>
      </w:r>
    </w:p>
    <w:p w14:paraId="2A9CA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加强新发传染病、肠道传染病（手足口、感染性腹泻）、呼吸道传染病（肺结核）的识别、诊断标准及报告要求的培训与考核。</w:t>
      </w:r>
    </w:p>
    <w:p w14:paraId="60CBA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强调在诊疗过程中保持高度警惕性，对可疑病例做到“早发现、早诊断、早报告、早隔离、早治疗”，严格执行首诊负责制，杜绝漏诊漏报。</w:t>
      </w:r>
    </w:p>
    <w:p w14:paraId="19033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default"/>
          <w:sz w:val="28"/>
          <w:szCs w:val="36"/>
          <w:lang w:val="en-US" w:eastAsia="zh-CN"/>
        </w:rPr>
        <w:t>压实管理责任，加强过程督导：</w:t>
      </w:r>
    </w:p>
    <w:p w14:paraId="56E44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各临床科室主任是本科室传染病报告管理的第一责任人，必须切实加强对本科室医生诊疗、登记、报告工作的日常管理和监督。明确要求临床医生必须严格按照规定时限（诊断后24小时内）完整、准确填报传染病报告卡。</w:t>
      </w:r>
    </w:p>
    <w:p w14:paraId="062EC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</w:t>
      </w:r>
      <w:r>
        <w:rPr>
          <w:rFonts w:hint="default"/>
          <w:sz w:val="28"/>
          <w:szCs w:val="36"/>
          <w:lang w:val="en-US" w:eastAsia="zh-CN"/>
        </w:rPr>
        <w:t>预防保健科需切实履行监管职责：</w:t>
      </w:r>
    </w:p>
    <w:p w14:paraId="2C126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增加日常网络巡查和现场抽查频次，建立报卡质量追踪台账。</w:t>
      </w:r>
    </w:p>
    <w:p w14:paraId="29056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对发现的问题报告卡（信息不全、错误、迟报、漏报），立即通过电话、院内OA、现场反馈等多种灵活方式通知相关医生及科室，要求限时整改并复核。</w:t>
      </w:r>
    </w:p>
    <w:p w14:paraId="540DF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对反复出现迟报、漏报或质量问题且整改不力的科室及个人，严格按照《医院传染病报告管理奖惩制度》进行通报批评及相应处罚。</w:t>
      </w:r>
    </w:p>
    <w:p w14:paraId="70215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</w:t>
      </w:r>
      <w:r>
        <w:rPr>
          <w:rFonts w:hint="default"/>
          <w:sz w:val="28"/>
          <w:szCs w:val="36"/>
          <w:lang w:val="en-US" w:eastAsia="zh-CN"/>
        </w:rPr>
        <w:t>闭环管理，持续改进质量：</w:t>
      </w:r>
    </w:p>
    <w:p w14:paraId="45CEC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防保科定期（如每月/每季度）将传染病报告质量核查结果（包括问题清单、责任科室/医生、整改要求）书面反馈至相关科室主任。</w:t>
      </w:r>
    </w:p>
    <w:p w14:paraId="2DD88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科室主任需组织科室内部讨论，分析原因，制定并落实具体整改措施，并将整改情况书面回复防保科。</w:t>
      </w:r>
    </w:p>
    <w:p w14:paraId="30A20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防保科跟踪整改效果，形成“检查-反馈-整改-复核”的闭环管理机制，切实降低迟报、漏报率，不断提升报告卡填写质量。</w:t>
      </w:r>
    </w:p>
    <w:p w14:paraId="36E94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</w:p>
    <w:p w14:paraId="27D0A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80" w:firstLineChars="21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预防保健科</w:t>
      </w:r>
    </w:p>
    <w:p w14:paraId="67353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80" w:firstLineChars="2100"/>
        <w:textAlignment w:val="auto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2025年10月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E6DFB"/>
    <w:rsid w:val="1FB34BBA"/>
    <w:rsid w:val="40DE6DFB"/>
    <w:rsid w:val="61D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202</a:t>
            </a:r>
            <a:r>
              <a:rPr lang="en-US" altLang="zh-CN"/>
              <a:t>5</a:t>
            </a:r>
            <a:r>
              <a:t>年第三季度传染病发病占比</a:t>
            </a:r>
          </a:p>
        </c:rich>
      </c:tx>
      <c:layout>
        <c:manualLayout>
          <c:xMode val="edge"/>
          <c:yMode val="edge"/>
          <c:x val="0.181875"/>
          <c:y val="0.0046941010796432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发病数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0.0517103694178162"/>
                  <c:y val="-0.0918192904212643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14110328501286"/>
                  <c:y val="0.0472532583467238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15888648585457"/>
                  <c:y val="0.269717818246742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5149684358195"/>
                  <c:y val="0.258639796464917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140285246668225"/>
                  <c:y val="0.0674588667052913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183493102642039"/>
                  <c:y val="0.0107299499491775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28910042085574"/>
                  <c:y val="0.00317550300852915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823068447509937"/>
                  <c:y val="-0.00458293774057017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711963116670563"/>
                  <c:y val="-0.0480169745967807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03175"/>
                  <c:y val="-0.0668147488931877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0526069675005845"/>
                  <c:y val="-0.0803427959292983"/>
                </c:manualLayout>
              </c:layout>
              <c:dLblPos val="bestFit"/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 w="12700" cmpd="sng">
                <a:solidFill>
                  <a:schemeClr val="accent1"/>
                </a:solidFill>
                <a:prstDash val="solid"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1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病毒性肝炎(丙肝)9例</c:v>
                </c:pt>
                <c:pt idx="1">
                  <c:v>病毒性肝炎(未分型)1例</c:v>
                </c:pt>
                <c:pt idx="2">
                  <c:v>病毒性肝炎(乙肝)83例</c:v>
                </c:pt>
                <c:pt idx="3">
                  <c:v>除霍乱、细菌性和阿米巴性痢疾、伤寒和副伤寒以外的感染性腹泻病47例</c:v>
                </c:pt>
                <c:pt idx="4">
                  <c:v>肺结核(病原学阳性)1例</c:v>
                </c:pt>
                <c:pt idx="5">
                  <c:v>肺结核(无病原学结果)1例</c:v>
                </c:pt>
                <c:pt idx="6">
                  <c:v>流行性感冒7例</c:v>
                </c:pt>
                <c:pt idx="7">
                  <c:v>流行性腮腺炎7例</c:v>
                </c:pt>
                <c:pt idx="8">
                  <c:v>手足口病4例</c:v>
                </c:pt>
                <c:pt idx="9">
                  <c:v>水痘7例</c:v>
                </c:pt>
                <c:pt idx="10">
                  <c:v>新型冠状病毒感染(轻型)3例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9</c:v>
                </c:pt>
                <c:pt idx="1">
                  <c:v>1</c:v>
                </c:pt>
                <c:pt idx="2">
                  <c:v>83</c:v>
                </c:pt>
                <c:pt idx="3">
                  <c:v>47</c:v>
                </c:pt>
                <c:pt idx="4">
                  <c:v>1</c:v>
                </c:pt>
                <c:pt idx="5">
                  <c:v>1</c:v>
                </c:pt>
                <c:pt idx="6">
                  <c:v>7</c:v>
                </c:pt>
                <c:pt idx="7">
                  <c:v>7</c:v>
                </c:pt>
                <c:pt idx="8">
                  <c:v>4</c:v>
                </c:pt>
                <c:pt idx="9">
                  <c:v>7</c:v>
                </c:pt>
                <c:pt idx="10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351724137931"/>
          <c:y val="0.110224916254586"/>
          <c:w val="0.322344827586207"/>
          <c:h val="0.88451108629765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2025-10-22T06:58:00Z</dcterms:created>
  <dc:creator>荣佳佳</dc:creator>
  <cp:lastModifiedBy>荣佳佳</cp:lastModifiedBy>
  <dcterms:modified xsi:type="dcterms:W3CDTF">2025-10-22T07:24:51Z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8A45BDCC25184162AD2DF00AC12C248C_11</vt:lpwstr>
  </property>
</Properties>
</file>