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0338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铜陵市</w:t>
      </w:r>
      <w:r>
        <w:rPr>
          <w:rFonts w:hint="eastAsia"/>
          <w:b/>
          <w:bCs/>
          <w:sz w:val="32"/>
          <w:szCs w:val="40"/>
          <w:lang w:val="en-US" w:eastAsia="zh-CN"/>
        </w:rPr>
        <w:t>中医医院</w:t>
      </w:r>
      <w:r>
        <w:rPr>
          <w:rFonts w:hint="eastAsia"/>
          <w:b/>
          <w:bCs/>
          <w:sz w:val="32"/>
          <w:szCs w:val="40"/>
        </w:rPr>
        <w:t>202</w:t>
      </w:r>
      <w:r>
        <w:rPr>
          <w:rFonts w:hint="eastAsia"/>
          <w:b/>
          <w:bCs/>
          <w:sz w:val="32"/>
          <w:szCs w:val="40"/>
          <w:lang w:val="en-US" w:eastAsia="zh-CN"/>
        </w:rPr>
        <w:t>5</w:t>
      </w:r>
      <w:r>
        <w:rPr>
          <w:rFonts w:hint="eastAsia"/>
          <w:b/>
          <w:bCs/>
          <w:sz w:val="32"/>
          <w:szCs w:val="40"/>
        </w:rPr>
        <w:t>年第</w:t>
      </w:r>
      <w:r>
        <w:rPr>
          <w:rFonts w:hint="eastAsia"/>
          <w:b/>
          <w:bCs/>
          <w:sz w:val="32"/>
          <w:szCs w:val="40"/>
          <w:lang w:val="en-US" w:eastAsia="zh-CN"/>
        </w:rPr>
        <w:t>二</w:t>
      </w:r>
      <w:r>
        <w:rPr>
          <w:rFonts w:hint="eastAsia"/>
          <w:b/>
          <w:bCs/>
          <w:sz w:val="32"/>
          <w:szCs w:val="40"/>
        </w:rPr>
        <w:t>季度传染病疫情报告与分析</w:t>
      </w:r>
    </w:p>
    <w:p w14:paraId="422A02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2025年4月1日——6月30日我院共报告法定传染病8种，发病数260例。乙类传染病3种,发病数150例;丙类传染病4种，发病数99例;其它法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定管理及重点监测的传染1种，发病数11例。本季度无甲类及乙类按甲类管理的传染病报告。</w:t>
      </w:r>
    </w:p>
    <w:p w14:paraId="3C3E3A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发病情况分析</w:t>
      </w:r>
    </w:p>
    <w:p w14:paraId="46256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431790" cy="474218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52991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二、重点染病疫情分析</w:t>
      </w:r>
    </w:p>
    <w:p w14:paraId="16787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本季度报告传染病以乙类、丙类为主，结合季节特点和报告数据，需重点关注以下传染病疫情：</w:t>
      </w:r>
    </w:p>
    <w:p w14:paraId="7748D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手足口病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default"/>
          <w:sz w:val="28"/>
          <w:szCs w:val="36"/>
          <w:lang w:val="en-US" w:eastAsia="zh-CN"/>
        </w:rPr>
        <w:t>作为春夏高发的丙类传染病，本季度报告病例数较多</w:t>
      </w:r>
      <w:r>
        <w:rPr>
          <w:rFonts w:hint="eastAsia"/>
          <w:sz w:val="28"/>
          <w:szCs w:val="36"/>
          <w:lang w:val="en-US" w:eastAsia="zh-CN"/>
        </w:rPr>
        <w:t>。</w:t>
      </w:r>
      <w:r>
        <w:rPr>
          <w:rFonts w:hint="default"/>
          <w:sz w:val="28"/>
          <w:szCs w:val="36"/>
          <w:lang w:val="en-US" w:eastAsia="zh-CN"/>
        </w:rPr>
        <w:t>发病主要集中在5岁以下散居儿童和托幼儿童。需高度警惕聚集性疫情和重症病例的发生。分析原因可能与气温升高、人群聚集活动增多有关。</w:t>
      </w:r>
    </w:p>
    <w:p w14:paraId="59253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其它感染性腹泻病： 本季度报告病例数亦较为突出。随着气温升高，细菌性病原体活跃度增加，由沙门氏菌、致泻性大肠杆菌等引起的感染性腹泻风险上升。需关注食源性疾病的报告，尤其注意集体单位（如学校、工地食堂）的病例聚集情况。加强肠道门诊管理是关键。</w:t>
      </w:r>
    </w:p>
    <w:p w14:paraId="17CF0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肺结核：作为乙类传染病，报告病例数持续存在。需持续关注病例发现、报告和规范治疗管理工作。强调对咳嗽、咳痰</w:t>
      </w:r>
      <w:r>
        <w:rPr>
          <w:rFonts w:hint="eastAsia"/>
          <w:sz w:val="28"/>
          <w:szCs w:val="36"/>
          <w:lang w:val="en-US" w:eastAsia="zh-CN"/>
        </w:rPr>
        <w:t>≥</w:t>
      </w:r>
      <w:r>
        <w:rPr>
          <w:rFonts w:hint="default"/>
          <w:sz w:val="28"/>
          <w:szCs w:val="36"/>
          <w:lang w:val="en-US" w:eastAsia="zh-CN"/>
        </w:rPr>
        <w:t>2周、咯血或血痰等可疑症状者的主动筛查意识，确保病例报告信息的准确性和治疗管理的连贯性，防止院内感染。</w:t>
      </w:r>
    </w:p>
    <w:p w14:paraId="1DB3C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病毒性肝炎：乙类传染病中肝炎报告病例需关注（。重点在于提高诊断分型（急/慢性、未分型）的准确性，确保病例信息的完整上报。同时，需加强肝炎防治知识的宣传，提高公众认知。</w:t>
      </w:r>
    </w:p>
    <w:p w14:paraId="26E09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总体来看，本季度疫情呈现季节性特征，肠道传染病（手足口、感染性腹泻）和呼吸道传染病（肺结核）是需要持续关注的重点。应加强相关科室的敏感性，提高诊断、报告和防控措施的落实。</w:t>
      </w:r>
    </w:p>
    <w:p w14:paraId="0570B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三、传染病报卡质量分析</w:t>
      </w:r>
    </w:p>
    <w:p w14:paraId="18826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本季度我院传染病报告质量较前有所提高，但仍存在以下突出问题：</w:t>
      </w:r>
    </w:p>
    <w:p w14:paraId="1ABF0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完整性</w:t>
      </w:r>
      <w:r>
        <w:rPr>
          <w:rFonts w:hint="eastAsia"/>
          <w:b/>
          <w:bCs/>
          <w:sz w:val="28"/>
          <w:szCs w:val="36"/>
          <w:lang w:val="en-US" w:eastAsia="zh-CN"/>
        </w:rPr>
        <w:t>：</w:t>
      </w:r>
    </w:p>
    <w:p w14:paraId="3E6CD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部分报告卡患者基本信息填写仍有遗漏，特别是“工作单位/学校”项缺失较多。</w:t>
      </w:r>
    </w:p>
    <w:p w14:paraId="71DB1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对于14岁以下（含14岁）儿童患者，未准确、完整填写其“监护人姓名”及“学校/托幼机构名称”的情况较为普遍。 此信息对疫情追踪和防控至关重要。</w:t>
      </w:r>
    </w:p>
    <w:p w14:paraId="71AB0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准确性：</w:t>
      </w:r>
    </w:p>
    <w:p w14:paraId="5BAAE1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病例分类与诊断存在错误或不规范现象，集中体现在：</w:t>
      </w:r>
    </w:p>
    <w:p w14:paraId="7B11B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部分手足口病病例未区分普通型/重症型。</w:t>
      </w:r>
    </w:p>
    <w:p w14:paraId="556C0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肝炎（特别是乙肝、丙肝）病例的急慢性分型、未分型选择不准确。</w:t>
      </w:r>
    </w:p>
    <w:p w14:paraId="6CE25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梅毒病例的分期（一期、二期、三期、隐性、胎传）报告错误或不明确。</w:t>
      </w:r>
    </w:p>
    <w:p w14:paraId="59D87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肺结核病例的病原学结果（涂阳、涂阴、仅培阳、未痰检等）与分型报告不一致。</w:t>
      </w:r>
    </w:p>
    <w:p w14:paraId="2C58AA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“人群分类” 项填写错误或过于笼统（如“其他”滥用），影响人群特征分析。</w:t>
      </w:r>
    </w:p>
    <w:p w14:paraId="5D49C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中医诊断名称存在歧义或不规范，例如将“风疹”仅填写为中医诊断名而未明确其对应的法定传染病（风疹），易导致混淆和漏报。</w:t>
      </w:r>
    </w:p>
    <w:p w14:paraId="1C3D1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及时性：</w:t>
      </w:r>
    </w:p>
    <w:p w14:paraId="2A16C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通过医院综合管理平台核查，传染病病例的漏报、迟报现象依然严峻。 部分临床医生对法定传染病的报告时限要求（甲类2小时，乙丙类24小时）执行不到位，未能做到诊断后立即填报。</w:t>
      </w:r>
    </w:p>
    <w:p w14:paraId="6725D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逻辑性：</w:t>
      </w:r>
    </w:p>
    <w:p w14:paraId="6DB87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部分报告卡诊断依据（临床/实验室）与实验室检测结果存在矛盾或未关联。</w:t>
      </w:r>
    </w:p>
    <w:p w14:paraId="5985F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四、下一步工作措施</w:t>
      </w:r>
    </w:p>
    <w:p w14:paraId="2E5E2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针对本季度疫情特点和报告卡质量存在的问题，特制定以下改进措施：</w:t>
      </w:r>
    </w:p>
    <w:p w14:paraId="1AF49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default"/>
          <w:sz w:val="28"/>
          <w:szCs w:val="36"/>
          <w:lang w:val="en-US" w:eastAsia="zh-CN"/>
        </w:rPr>
        <w:t>强化培训与意识提升：组织全院临床医务人员（尤其新入职人员） 开展专项培训，重点学习《中华人民共和国传染病防治法》、最新版《传染病信息报告管理规范》及本院报告流程。</w:t>
      </w:r>
    </w:p>
    <w:p w14:paraId="2A9CA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加强新发传染病、肠道传染病（手足口、感染性腹泻）、呼吸道传染病（肺结核）的识别、诊断标准及报告要求的培训与考核。</w:t>
      </w:r>
    </w:p>
    <w:p w14:paraId="60CBA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强调在诊疗过程中保持高度警惕性，对可疑病例做到“早发现、早诊断、早报告、早隔离、早治疗”，严格执行首诊负责制，杜绝漏诊漏报。</w:t>
      </w:r>
    </w:p>
    <w:p w14:paraId="19033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default"/>
          <w:sz w:val="28"/>
          <w:szCs w:val="36"/>
          <w:lang w:val="en-US" w:eastAsia="zh-CN"/>
        </w:rPr>
        <w:t>压实管理责任，加强过程督导：</w:t>
      </w:r>
    </w:p>
    <w:p w14:paraId="56E44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各临床科室主任是本科室传染病报告管理的第一责任人，必须切实加强对本科室医生诊疗、登记、报告工作的日常管理和监督。明确要求临床医生必须严格按照规定时限（诊断后24小时内）完整、准确填报传染病报告卡。</w:t>
      </w:r>
    </w:p>
    <w:p w14:paraId="062EC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default"/>
          <w:sz w:val="28"/>
          <w:szCs w:val="36"/>
          <w:lang w:val="en-US" w:eastAsia="zh-CN"/>
        </w:rPr>
        <w:t>预防保健科需切实履行监管职责：</w:t>
      </w:r>
    </w:p>
    <w:p w14:paraId="37F51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增加日常网络巡查和现场抽查频次，建立报卡质量追踪台账。</w:t>
      </w:r>
    </w:p>
    <w:p w14:paraId="2C126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</w:p>
    <w:p w14:paraId="29056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对发现的问题报告卡（信息不全、错误、迟报、漏报），立即通过电话、院内OA、现场反馈等多种灵活方式通知相关医生及科室，要求限时整改并复核。</w:t>
      </w:r>
    </w:p>
    <w:p w14:paraId="540DF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对反复出现迟报、漏报或质量问题且整改不力的科室及个人，严格按照《医院传染病报告管理奖惩制度》进行通报批评及相应处罚。</w:t>
      </w:r>
    </w:p>
    <w:p w14:paraId="70215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</w:t>
      </w:r>
      <w:r>
        <w:rPr>
          <w:rFonts w:hint="default"/>
          <w:sz w:val="28"/>
          <w:szCs w:val="36"/>
          <w:lang w:val="en-US" w:eastAsia="zh-CN"/>
        </w:rPr>
        <w:t>闭环管理，持续改进质量：</w:t>
      </w:r>
    </w:p>
    <w:p w14:paraId="45CEC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防保科定期（如每月/每季度）将传染病报告质量核查结果（包括问题清单、责任科室/医生、整改要求）书面反馈至相关科室主任。</w:t>
      </w:r>
    </w:p>
    <w:p w14:paraId="2DD88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科室主任需组织科室内部讨论，分析原因，制定并落实具体整改措施，并将整改情况书面回复防保科。</w:t>
      </w:r>
    </w:p>
    <w:p w14:paraId="30A20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防保科跟踪整改效果，形成“检查-反馈-整改-复核”的闭环管理机制，切实降低迟报、漏报率，不断提升报告卡填写质量。</w:t>
      </w:r>
    </w:p>
    <w:p w14:paraId="7C548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</w:t>
      </w:r>
    </w:p>
    <w:p w14:paraId="7F91D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预防保健科</w:t>
      </w:r>
    </w:p>
    <w:p w14:paraId="09658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2025-7-11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15830"/>
    <w:multiLevelType w:val="singleLevel"/>
    <w:tmpl w:val="051158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2EyOGEzOWEzMWI1ZDUwMTM2Njc5NjAzMmYxMWEifQ=="/>
  </w:docVars>
  <w:rsids>
    <w:rsidRoot w:val="00000000"/>
    <w:rsid w:val="03576939"/>
    <w:rsid w:val="0F1E3BB0"/>
    <w:rsid w:val="34690D87"/>
    <w:rsid w:val="352041F6"/>
    <w:rsid w:val="42810E6C"/>
    <w:rsid w:val="55266016"/>
    <w:rsid w:val="5C1A4369"/>
    <w:rsid w:val="5C577B0D"/>
    <w:rsid w:val="5EE6285D"/>
    <w:rsid w:val="61591EC7"/>
    <w:rsid w:val="63743970"/>
    <w:rsid w:val="68BA43F0"/>
    <w:rsid w:val="6E8379F2"/>
    <w:rsid w:val="79B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5</a:t>
            </a:r>
            <a:r>
              <a:t>年第</a:t>
            </a:r>
            <a:r>
              <a:t>二季度传染病发病占比</a:t>
            </a:r>
          </a:p>
        </c:rich>
      </c:tx>
      <c:layout>
        <c:manualLayout>
          <c:xMode val="edge"/>
          <c:yMode val="edge"/>
          <c:x val="0.181875"/>
          <c:y val="0.0046941010796432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发病数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05175"/>
                  <c:y val="-0.0456221827619178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1625"/>
                  <c:y val="-0.0511666666666667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7525"/>
                  <c:y val="-0.0938333333333333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76"/>
                  <c:y val="-0.0085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403750000000001"/>
                  <c:y val="0.0393388881300369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59125"/>
                  <c:y val="0.157355552520147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7275"/>
                  <c:y val="0.0252697718890862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07125"/>
                  <c:y val="0.0596912990028685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36125"/>
                  <c:y val="0.0504029504166098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3175"/>
                  <c:y val="0.0818194235760142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丙肝（10例）</c:v>
                </c:pt>
                <c:pt idx="1">
                  <c:v>肝炎未分型（2例）</c:v>
                </c:pt>
                <c:pt idx="2">
                  <c:v>乙肝（129例）</c:v>
                </c:pt>
                <c:pt idx="3">
                  <c:v>感染性腹泻（85例）</c:v>
                </c:pt>
                <c:pt idx="4">
                  <c:v>肺结核病原学阴性（3例）</c:v>
                </c:pt>
                <c:pt idx="5">
                  <c:v>肺结核无病原学结果（5例）</c:v>
                </c:pt>
                <c:pt idx="6">
                  <c:v>流行性感冒（8例）</c:v>
                </c:pt>
                <c:pt idx="7">
                  <c:v>手足口病（5例）</c:v>
                </c:pt>
                <c:pt idx="8">
                  <c:v>水痘（11例）</c:v>
                </c:pt>
                <c:pt idx="9">
                  <c:v>新型冠状病毒感染（1例）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10</c:v>
                </c:pt>
                <c:pt idx="1">
                  <c:v>2</c:v>
                </c:pt>
                <c:pt idx="2">
                  <c:v>129</c:v>
                </c:pt>
                <c:pt idx="3">
                  <c:v>85</c:v>
                </c:pt>
                <c:pt idx="4">
                  <c:v>3</c:v>
                </c:pt>
                <c:pt idx="5">
                  <c:v>5</c:v>
                </c:pt>
                <c:pt idx="6">
                  <c:v>8</c:v>
                </c:pt>
                <c:pt idx="7">
                  <c:v>5</c:v>
                </c:pt>
                <c:pt idx="8">
                  <c:v>11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7875"/>
          <c:y val="0.28684605928151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475a079-52f7-4966-b2f8-d4b3585f9364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1880</Words>
  <Characters>1906</Characters>
  <Lines>0</Lines>
  <Paragraphs>0</Paragraphs>
  <TotalTime>24</TotalTime>
  <ScaleCrop>false</ScaleCrop>
  <LinksUpToDate>false</LinksUpToDate>
  <CharactersWithSpaces>1997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2023-04-04T00:22:00Z</dcterms:created>
  <dc:creator>ywc</dc:creator>
  <cp:lastModifiedBy>佳佳</cp:lastModifiedBy>
  <dcterms:modified xsi:type="dcterms:W3CDTF">2025-07-11T02:30:23Z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029A4C9938944DC88EE15B5212B58007_13</vt:lpwstr>
  </property>
</Properties>
</file>